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pl-PL" w:eastAsia="pl-PL" w:bidi="pl-PL"/>
        </w:rPr>
        <w:t>Karta informacyjna usługi</w:t>
      </w:r>
    </w:p>
    <w:p>
      <w:r>
        <w:rPr>
          <w:b/>
          <w:sz w:val="28"/>
          <w:lang w:val="pl-PL" w:eastAsia="pl-PL" w:bidi="pl-PL"/>
        </w:rPr>
        <w:t>Konsultacja projektowa dla klientów biznesowych</w:t>
      </w:r>
    </w:p>
    <w:p>
      <w:r>
        <w:rPr>
          <w:lang w:val="pl-PL" w:eastAsia="pl-PL" w:bidi="pl-PL"/>
        </w:rPr>
        <w:t>Przykład przygotowany do demonstracji dostępnego dokumentu Word i PDF.</w:t>
      </w:r>
    </w:p>
    <w:p>
      <w:pPr>
        <w:pStyle w:val="Heading1"/>
      </w:pPr>
      <w:r>
        <w:t>1. Najważniejsze informacje</w:t>
      </w:r>
    </w:p>
    <w:p>
      <w:r>
        <w:t>Usługa obejmuje analizę potrzeb, spotkanie konsultacyjne i przekazanie krótkiego podsumowania z rekomendacjami. Informacje są podane w prostym układzie, a najważniejsze sekcje mają prawidłową strukturę nagłówków.</w:t>
      </w:r>
    </w:p>
    <w:p>
      <w:pPr>
        <w:pStyle w:val="ListBullet"/>
      </w:pPr>
      <w:r>
        <w:rPr>
          <w:lang w:val="pl-PL" w:eastAsia="pl-PL" w:bidi="pl-PL"/>
        </w:rPr>
        <w:t>Kontakt możliwy telefonicznie, e-mailem lub przez formularz.</w:t>
      </w:r>
    </w:p>
    <w:p>
      <w:pPr>
        <w:pStyle w:val="ListBullet"/>
      </w:pPr>
      <w:r>
        <w:rPr>
          <w:lang w:val="pl-PL" w:eastAsia="pl-PL" w:bidi="pl-PL"/>
        </w:rPr>
        <w:t>Dokumenty mogą zostać przekazane elektronicznie przed spotkaniem.</w:t>
      </w:r>
    </w:p>
    <w:p>
      <w:pPr>
        <w:pStyle w:val="ListBullet"/>
      </w:pPr>
      <w:r>
        <w:rPr>
          <w:lang w:val="pl-PL" w:eastAsia="pl-PL" w:bidi="pl-PL"/>
        </w:rPr>
        <w:t>Spotkanie może odbyć się stacjonarnie albo online.</w:t>
      </w:r>
    </w:p>
    <w:p>
      <w:pPr>
        <w:pStyle w:val="Heading1"/>
      </w:pPr>
      <w:r>
        <w:t>2. Przebieg usługi</w:t>
      </w:r>
    </w:p>
    <w:p>
      <w:pPr>
        <w:pStyle w:val="Heading2"/>
      </w:pPr>
      <w:r>
        <w:t>Etap 1. Zgłoszenie</w:t>
      </w:r>
    </w:p>
    <w:p>
      <w:r>
        <w:t>Klient wybiera wygodny kanał kontaktu i otrzymuje potwierdzenie wraz z podstawowymi informacjami organizacyjnymi.</w:t>
      </w:r>
    </w:p>
    <w:p>
      <w:pPr>
        <w:pStyle w:val="Heading2"/>
      </w:pPr>
      <w:r>
        <w:t>Etap 2. Spotkanie</w:t>
      </w:r>
    </w:p>
    <w:p>
      <w:r>
        <w:t>Podczas spotkania omawiany jest cel współpracy, zakres zadania i możliwe warianty realizacji. W razie potrzeby można wydłużyć czas spotkania albo zmienić kanał komunikacji.</w:t>
      </w:r>
    </w:p>
    <w:p>
      <w:pPr>
        <w:pStyle w:val="Heading2"/>
      </w:pPr>
      <w:r>
        <w:t>Etap 3. Podsumowanie</w:t>
      </w:r>
    </w:p>
    <w:p>
      <w:r>
        <w:t>Po spotkaniu przekazywane jest pisemne podsumowanie. Dokument może zostać przesłany w edytowalnym formacie DOCX oraz w prawidłowo wyeksportowanym, tagowanym PDF.</w:t>
      </w:r>
    </w:p>
    <w:p>
      <w:pPr>
        <w:pStyle w:val="Heading1"/>
      </w:pPr>
      <w:r>
        <w:t>3. Dane organizacyjne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rPr>
          <w:tblHeader w:val="true"/>
        </w:trPr>
        <w:tc>
          <w:tcPr>
            <w:tcW w:type="dxa" w:w="492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AF7"/>
          </w:tcPr>
          <w:p>
            <w:r>
              <w:rPr>
                <w:b/>
                <w:lang w:val="pl-PL" w:eastAsia="pl-PL" w:bidi="pl-PL"/>
              </w:rPr>
              <w:t>Element</w:t>
            </w:r>
          </w:p>
        </w:tc>
        <w:tc>
          <w:tcPr>
            <w:tcW w:type="dxa" w:w="492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AF7"/>
          </w:tcPr>
          <w:p>
            <w:r>
              <w:rPr>
                <w:b/>
                <w:lang w:val="pl-PL" w:eastAsia="pl-PL" w:bidi="pl-PL"/>
              </w:rPr>
              <w:t>Informacja</w:t>
            </w:r>
          </w:p>
        </w:tc>
      </w:tr>
      <w:tr>
        <w:tc>
          <w:tcPr>
            <w:tcW w:type="dxa" w:w="492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lang w:val="pl-PL" w:eastAsia="pl-PL" w:bidi="pl-PL"/>
              </w:rPr>
              <w:t>Czas spotkania</w:t>
            </w:r>
          </w:p>
        </w:tc>
        <w:tc>
          <w:tcPr>
            <w:tcW w:type="dxa" w:w="492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lang w:val="pl-PL" w:eastAsia="pl-PL" w:bidi="pl-PL"/>
              </w:rPr>
              <w:t>60-90 minut</w:t>
            </w:r>
          </w:p>
        </w:tc>
      </w:tr>
      <w:tr>
        <w:tc>
          <w:tcPr>
            <w:tcW w:type="dxa" w:w="492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lang w:val="pl-PL" w:eastAsia="pl-PL" w:bidi="pl-PL"/>
              </w:rPr>
              <w:t>Forma</w:t>
            </w:r>
          </w:p>
        </w:tc>
        <w:tc>
          <w:tcPr>
            <w:tcW w:type="dxa" w:w="492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lang w:val="pl-PL" w:eastAsia="pl-PL" w:bidi="pl-PL"/>
              </w:rPr>
              <w:t>stacjonarnie lub online</w:t>
            </w:r>
          </w:p>
        </w:tc>
      </w:tr>
      <w:tr>
        <w:tc>
          <w:tcPr>
            <w:tcW w:type="dxa" w:w="492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lang w:val="pl-PL" w:eastAsia="pl-PL" w:bidi="pl-PL"/>
              </w:rPr>
              <w:t>Kanały kontaktu</w:t>
            </w:r>
          </w:p>
        </w:tc>
        <w:tc>
          <w:tcPr>
            <w:tcW w:type="dxa" w:w="492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lang w:val="pl-PL" w:eastAsia="pl-PL" w:bidi="pl-PL"/>
              </w:rPr>
              <w:t>telefon, e-mail, formularz</w:t>
            </w:r>
          </w:p>
        </w:tc>
      </w:tr>
    </w:tbl>
    <w:p>
      <w:pPr>
        <w:pStyle w:val="Heading1"/>
      </w:pPr>
      <w:r>
        <w:t>4. Schemat punktu obsługi</w:t>
      </w:r>
    </w:p>
    <w:p>
      <w:r>
        <w:t>Grafika poniżej przedstawia przykładowy układ wejścia, stanowiska obsługi i sali spotkań.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022500"/>
            <wp:docPr id="1" name="Picture 1" descr="Schemat punktu obsługi: wejście po lewej prowadzi bezstopniową trasą do stanowiska obsługi w centrum, a dalej do sali spotkań po prawej." title="Schemat punktu obsług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emat_punktu_obslugi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02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5. Kontakt i dalsze informacje</w:t>
      </w:r>
    </w:p>
    <w:p>
      <w:r>
        <w:t xml:space="preserve">Więcej informacji o dostępności i sposobach organizacji usługi: </w:t>
      </w:r>
      <w:hyperlink r:id="rId11">
        <w:r>
          <w:rPr>
            <w:color w:val="005A9C"/>
            <w:u w:val="single"/>
            <w:lang w:val="pl-PL"/>
          </w:rPr>
          <w:t>serwis Zysk z Dostępności</w:t>
        </w:r>
      </w:hyperlink>
    </w:p>
    <w:p>
      <w:r>
        <w:t>E-mail: kontakt@example.org</w:t>
      </w:r>
    </w:p>
    <w:sectPr w:rsidR="00FC693F" w:rsidRPr="0006063C" w:rsidSect="00034616">
      <w:footerReference w:type="default" r:id="rId9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rlito" w:hAnsi="Carlito"/>
      <w:sz w:val="22"/>
      <w:lang w:val="pl-PL" w:eastAsia="pl-PL" w:bidi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rlito" w:hAnsi="Carlito"/>
      <w:b/>
      <w:bCs/>
      <w:color w:val="1F4E79"/>
      <w:sz w:val="34"/>
      <w:szCs w:val="28"/>
      <w:lang w:val="pl-PL" w:eastAsia="pl-PL" w:bidi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rlito" w:hAnsi="Carlito"/>
      <w:b/>
      <w:bCs/>
      <w:color w:val="1F4E79"/>
      <w:sz w:val="26"/>
      <w:szCs w:val="26"/>
      <w:lang w:val="pl-PL" w:eastAsia="pl-PL" w:bidi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rlito" w:hAnsi="Carlito"/>
      <w:b/>
      <w:bCs/>
      <w:color w:val="4F81BD" w:themeColor="accent1"/>
      <w:lang w:val="pl-PL" w:eastAsia="pl-PL" w:bidi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rlito" w:hAnsi="Carlito"/>
      <w:b/>
      <w:color w:val="1F4E79"/>
      <w:spacing w:val="5"/>
      <w:kern w:val="28"/>
      <w:sz w:val="48"/>
      <w:szCs w:val="52"/>
      <w:lang w:val="pl-PL" w:eastAsia="pl-PL" w:bidi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zyskzdostepnosc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informacyjna usługi - konsultacja projektowa</dc:title>
  <dc:subject>Przykładowy dokument do demonstracji dostępności cyfrowej</dc:subject>
  <dc:creator>Firma demonstracyjna</dc:creator>
  <cp:keywords>dostępność, dokument, WCAG, przykład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